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2025" w:themeColor="text1" w:themeShade="80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lang w:eastAsia="ru-RU"/>
        </w:rPr>
        <w:t>Муниципальное  бюджетное  общеобразовательное  учреждение  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2025" w:themeColor="text1" w:themeShade="80"/>
          <w:sz w:val="28"/>
          <w:lang w:eastAsia="ru-RU"/>
        </w:rPr>
      </w:pP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lang w:eastAsia="ru-RU"/>
        </w:rPr>
        <w:t>Евсеевская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lang w:eastAsia="ru-RU"/>
        </w:rPr>
        <w:t xml:space="preserve"> средняя общеобразовательная школа  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A2025" w:themeColor="text1" w:themeShade="80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Arial" w:hAnsi="Arial" w:cs="Arial"/>
          <w:color w:val="1A2025" w:themeColor="text1" w:themeShade="80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lang w:eastAsia="ru-RU"/>
        </w:rPr>
        <w:t>                                                                                 </w:t>
      </w:r>
    </w:p>
    <w:p w:rsidR="0078206B" w:rsidRPr="00CE2B28" w:rsidRDefault="0078206B" w:rsidP="00210131">
      <w:pPr>
        <w:tabs>
          <w:tab w:val="left" w:pos="4080"/>
          <w:tab w:val="center" w:pos="7429"/>
        </w:tabs>
        <w:spacing w:after="0"/>
        <w:jc w:val="center"/>
        <w:rPr>
          <w:rFonts w:ascii="Times New Roman" w:hAnsi="Times New Roman"/>
          <w:color w:val="1A2025" w:themeColor="text1" w:themeShade="80"/>
          <w:sz w:val="28"/>
          <w:szCs w:val="32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32"/>
        </w:rPr>
        <w:t xml:space="preserve">                     </w:t>
      </w:r>
    </w:p>
    <w:tbl>
      <w:tblPr>
        <w:tblW w:w="10372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78206B" w:rsidRPr="00CE2B28" w:rsidTr="00CE2B28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78206B" w:rsidRPr="00CE2B28" w:rsidRDefault="00CE2B28" w:rsidP="00CE2B28">
            <w:pPr>
              <w:tabs>
                <w:tab w:val="left" w:pos="4080"/>
                <w:tab w:val="center" w:pos="7429"/>
              </w:tabs>
              <w:spacing w:after="0"/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</w:pPr>
            <w:r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                                                                                    </w:t>
            </w:r>
            <w:r w:rsidR="0078206B"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«Утверждаю»                        </w:t>
            </w:r>
          </w:p>
          <w:p w:rsidR="0078206B" w:rsidRPr="00CE2B28" w:rsidRDefault="0078206B" w:rsidP="00CE2B28">
            <w:pPr>
              <w:tabs>
                <w:tab w:val="left" w:pos="4080"/>
                <w:tab w:val="center" w:pos="7429"/>
              </w:tabs>
              <w:spacing w:after="0"/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</w:pPr>
            <w:r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                                  </w:t>
            </w:r>
            <w:r w:rsidR="00CE2B28"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                                                  </w:t>
            </w:r>
            <w:r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>Директор МБОУ ЕСОШ</w:t>
            </w:r>
          </w:p>
          <w:p w:rsidR="0078206B" w:rsidRPr="00CE2B28" w:rsidRDefault="00CE2B28" w:rsidP="00CE2B28">
            <w:pPr>
              <w:tabs>
                <w:tab w:val="left" w:pos="4080"/>
                <w:tab w:val="center" w:pos="7429"/>
              </w:tabs>
              <w:spacing w:after="0"/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</w:pPr>
            <w:r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                                                                                     </w:t>
            </w:r>
            <w:r w:rsidR="0078206B"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Приказ от__201__ года №___ </w:t>
            </w:r>
          </w:p>
          <w:p w:rsidR="0078206B" w:rsidRPr="00CE2B28" w:rsidRDefault="00CE2B28" w:rsidP="00CE2B28">
            <w:pPr>
              <w:tabs>
                <w:tab w:val="left" w:pos="4080"/>
                <w:tab w:val="center" w:pos="7429"/>
              </w:tabs>
              <w:spacing w:after="0"/>
              <w:rPr>
                <w:color w:val="1A2025" w:themeColor="text1" w:themeShade="80"/>
                <w:sz w:val="32"/>
                <w:szCs w:val="32"/>
              </w:rPr>
            </w:pPr>
            <w:r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                                                                                         </w:t>
            </w:r>
            <w:r w:rsidR="0078206B"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__________ </w:t>
            </w:r>
            <w:proofErr w:type="spellStart"/>
            <w:r w:rsidR="0078206B"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>Глухова</w:t>
            </w:r>
            <w:proofErr w:type="spellEnd"/>
            <w:r w:rsidR="0078206B" w:rsidRPr="00CE2B28"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  <w:t xml:space="preserve"> Л.П</w:t>
            </w:r>
            <w:r w:rsidR="0078206B" w:rsidRPr="00CE2B28">
              <w:rPr>
                <w:color w:val="1A2025" w:themeColor="text1" w:themeShade="80"/>
                <w:sz w:val="32"/>
                <w:szCs w:val="32"/>
              </w:rPr>
              <w:t>.</w:t>
            </w:r>
          </w:p>
          <w:p w:rsidR="0078206B" w:rsidRPr="00CE2B28" w:rsidRDefault="0078206B" w:rsidP="0026414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A2025" w:themeColor="text1" w:themeShade="80"/>
                <w:sz w:val="28"/>
                <w:lang w:eastAsia="ru-RU"/>
              </w:rPr>
            </w:pPr>
          </w:p>
          <w:p w:rsidR="0078206B" w:rsidRPr="00CE2B28" w:rsidRDefault="0078206B" w:rsidP="00264149">
            <w:pPr>
              <w:tabs>
                <w:tab w:val="left" w:pos="4080"/>
                <w:tab w:val="center" w:pos="7429"/>
              </w:tabs>
              <w:spacing w:after="0"/>
              <w:jc w:val="center"/>
              <w:rPr>
                <w:rFonts w:ascii="Times New Roman" w:hAnsi="Times New Roman"/>
                <w:color w:val="1A2025" w:themeColor="text1" w:themeShade="80"/>
                <w:sz w:val="28"/>
                <w:szCs w:val="32"/>
              </w:rPr>
            </w:pPr>
          </w:p>
        </w:tc>
      </w:tr>
    </w:tbl>
    <w:p w:rsidR="0078206B" w:rsidRPr="00CE2B28" w:rsidRDefault="00CE2B28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32"/>
        </w:rPr>
        <w:t xml:space="preserve">                            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2025" w:themeColor="text1" w:themeShade="80"/>
          <w:sz w:val="4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56"/>
          <w:lang w:eastAsia="ru-RU"/>
        </w:rPr>
        <w:t>Программа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2025" w:themeColor="text1" w:themeShade="80"/>
          <w:sz w:val="56"/>
          <w:szCs w:val="56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56"/>
          <w:szCs w:val="56"/>
          <w:lang w:eastAsia="ru-RU"/>
        </w:rPr>
        <w:t>школьного краеведческого музея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A2025" w:themeColor="text1" w:themeShade="80"/>
          <w:sz w:val="52"/>
          <w:szCs w:val="24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A2025" w:themeColor="text1" w:themeShade="80"/>
          <w:sz w:val="52"/>
          <w:szCs w:val="24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A2025" w:themeColor="text1" w:themeShade="80"/>
          <w:sz w:val="52"/>
          <w:szCs w:val="24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A2025" w:themeColor="text1" w:themeShade="80"/>
          <w:sz w:val="52"/>
          <w:szCs w:val="24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</w:pPr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>Руководитель музея:</w:t>
      </w:r>
    </w:p>
    <w:p w:rsidR="0078206B" w:rsidRPr="00CE2B28" w:rsidRDefault="0078206B" w:rsidP="00D956F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A2025" w:themeColor="text1" w:themeShade="80"/>
          <w:lang w:eastAsia="ru-RU"/>
        </w:rPr>
      </w:pPr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 xml:space="preserve">                                                                             Лагутин Вячеслав Григорьевич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A2025" w:themeColor="text1" w:themeShade="80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  <w:t> </w:t>
      </w:r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>учитель истории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A2025" w:themeColor="text1" w:themeShade="80"/>
          <w:lang w:eastAsia="ru-RU"/>
        </w:rPr>
      </w:pPr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>и обществознания</w:t>
      </w: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</w:pPr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 xml:space="preserve">                                                                                                     </w:t>
      </w:r>
      <w:r w:rsidRPr="00CE2B28">
        <w:rPr>
          <w:rFonts w:ascii="Times New Roman" w:hAnsi="Times New Roman"/>
          <w:b/>
          <w:bCs/>
          <w:color w:val="1A2025" w:themeColor="text1" w:themeShade="80"/>
          <w:sz w:val="28"/>
          <w:lang w:eastAsia="ru-RU"/>
        </w:rPr>
        <w:t>                                    </w:t>
      </w:r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 xml:space="preserve">                                                                </w:t>
      </w: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rPr>
          <w:rFonts w:ascii="Arial" w:hAnsi="Arial" w:cs="Arial"/>
          <w:color w:val="1A2025" w:themeColor="text1" w:themeShade="80"/>
          <w:lang w:eastAsia="ru-RU"/>
        </w:rPr>
      </w:pP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2025" w:themeColor="text1" w:themeShade="80"/>
          <w:lang w:eastAsia="ru-RU"/>
        </w:rPr>
      </w:pPr>
      <w:proofErr w:type="spellStart"/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>х</w:t>
      </w:r>
      <w:proofErr w:type="spellEnd"/>
      <w:proofErr w:type="gramStart"/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 xml:space="preserve"> .</w:t>
      </w:r>
      <w:proofErr w:type="spellStart"/>
      <w:proofErr w:type="gramEnd"/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>Евсеевский</w:t>
      </w:r>
      <w:proofErr w:type="spellEnd"/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>, Усть-Донецкий район</w:t>
      </w:r>
    </w:p>
    <w:p w:rsidR="0078206B" w:rsidRPr="00CE2B28" w:rsidRDefault="0078206B" w:rsidP="00210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</w:pPr>
      <w:r w:rsidRPr="00CE2B28">
        <w:rPr>
          <w:rFonts w:ascii="Times New Roman" w:hAnsi="Times New Roman"/>
          <w:b/>
          <w:bCs/>
          <w:i/>
          <w:iCs/>
          <w:color w:val="1A2025" w:themeColor="text1" w:themeShade="80"/>
          <w:sz w:val="28"/>
          <w:lang w:eastAsia="ru-RU"/>
        </w:rPr>
        <w:t>2018 год</w:t>
      </w:r>
    </w:p>
    <w:p w:rsidR="0078206B" w:rsidRPr="00CE2B28" w:rsidRDefault="0078206B" w:rsidP="00416DF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</w:p>
    <w:p w:rsidR="0078206B" w:rsidRPr="00CE2B28" w:rsidRDefault="0078206B" w:rsidP="00416DF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  <w:lastRenderedPageBreak/>
        <w:t>ПОЯСНИТЕЛЬНАЯ ЗАПИСКА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Школьный музей —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информации.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 — успеть сохранить для будущих поколений все ценное и достойное. Если не фиксировать события и явления, то позже их восстановление и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 — все это является важным средством документирования истории родного края.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 В школьных музеях ребенок выступает не только как потребитель продукта музейной деятельности, но и как активный его создатель.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Краеведческая работа ведется в школе уже в течение нескольких лет. Собранный материал по истории нашего края хранится в школьном музее. Данная программа предназначена для ведения краеведческой работы в рамках учебно-воспитательной деятельности и призвана помочь учащимся шире познакомиться </w:t>
      </w:r>
      <w:proofErr w:type="gram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с</w:t>
      </w:r>
      <w:proofErr w:type="gram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</w:t>
      </w:r>
      <w:proofErr w:type="gram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родным</w:t>
      </w:r>
      <w:proofErr w:type="gram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краем, глубже понять своеобразие его природы, истории и культуры, а также познакомиться с приемами собирательской и музейной работы через экскурсии, экспедиции, интересные встречи.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i/>
          <w:iCs/>
          <w:color w:val="1A2025" w:themeColor="text1" w:themeShade="80"/>
          <w:sz w:val="28"/>
          <w:szCs w:val="28"/>
          <w:lang w:eastAsia="ru-RU"/>
        </w:rPr>
        <w:t xml:space="preserve">Цель программы: 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создать оптимальные условия 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i/>
          <w:iCs/>
          <w:color w:val="1A2025" w:themeColor="text1" w:themeShade="80"/>
          <w:sz w:val="28"/>
          <w:szCs w:val="28"/>
          <w:lang w:eastAsia="ru-RU"/>
        </w:rPr>
        <w:t>Основные задачи</w:t>
      </w:r>
      <w:r w:rsidRPr="00CE2B28">
        <w:rPr>
          <w:rFonts w:ascii="Times New Roman" w:hAnsi="Times New Roman"/>
          <w:i/>
          <w:iCs/>
          <w:color w:val="1A2025" w:themeColor="text1" w:themeShade="80"/>
          <w:sz w:val="28"/>
          <w:szCs w:val="28"/>
          <w:lang w:eastAsia="ru-RU"/>
        </w:rPr>
        <w:t xml:space="preserve">, 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которые необходимо решить для достижения цели программы:</w:t>
      </w:r>
    </w:p>
    <w:p w:rsidR="0078206B" w:rsidRPr="00CE2B28" w:rsidRDefault="0078206B" w:rsidP="00D2479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активизация познавательной и исследовательской деятельности учащихся;</w:t>
      </w:r>
    </w:p>
    <w:p w:rsidR="0078206B" w:rsidRPr="00CE2B28" w:rsidRDefault="0078206B" w:rsidP="00D2479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lastRenderedPageBreak/>
        <w:t>развитие их творческих способностей;</w:t>
      </w:r>
    </w:p>
    <w:p w:rsidR="0078206B" w:rsidRPr="00CE2B28" w:rsidRDefault="0078206B" w:rsidP="00D2479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приобщение школьников к культуре предков, к традициям и обычаям, привитие чувства любви к родному краю;</w:t>
      </w:r>
    </w:p>
    <w:p w:rsidR="0078206B" w:rsidRPr="00CE2B28" w:rsidRDefault="0078206B" w:rsidP="00D2479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воспитание у </w:t>
      </w:r>
      <w:proofErr w:type="gram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обучающихся</w:t>
      </w:r>
      <w:proofErr w:type="gram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гражданственности и патриотизма;</w:t>
      </w:r>
    </w:p>
    <w:p w:rsidR="0078206B" w:rsidRPr="00CE2B28" w:rsidRDefault="0078206B" w:rsidP="00D2479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привлечение внимания школьников к проблемам сохранения истории и культуры родного края;</w:t>
      </w:r>
    </w:p>
    <w:p w:rsidR="0078206B" w:rsidRPr="00CE2B28" w:rsidRDefault="0078206B" w:rsidP="00D2479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формирование и пополнение музейных коллекций, обеспечение сохранности экспонатов, учет фондов музея.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i/>
          <w:i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i/>
          <w:iCs/>
          <w:color w:val="1A2025" w:themeColor="text1" w:themeShade="80"/>
          <w:sz w:val="28"/>
          <w:szCs w:val="28"/>
          <w:lang w:eastAsia="ru-RU"/>
        </w:rPr>
        <w:t>Основные принципы осуществления программы: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принцип заботливого отношения друг к другу, к окружающему миру;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принцип совместной деятельности учащихся;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принцип целесообразности («все делать с пользой»);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принцип творческого отношения к делу.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Срок реализации программы — 5 лет.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  <w:t>НАПРАВЛЕНИЯ ПРОГРАММЫ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Программа реализуется по следующим направлениям: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left="708"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поисково-исследовательская деятельность;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left="708"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учет и хранение фондов;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left="708"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экспозиционная деятельность;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left="708"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просветительская деятельность.</w:t>
      </w:r>
    </w:p>
    <w:p w:rsidR="0078206B" w:rsidRPr="00CE2B28" w:rsidRDefault="0078206B" w:rsidP="00D247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  <w:t>Поисково-исследовательская деятельность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Данное направление работы предполагает непосредственное участие учащихся и учителей в поисково-исследовательской работе по возрождению истории родного края.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материала: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планомерный систематический сбор документов, памятников материальной и духовной культуры;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экспедиционный сбор;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прием даров и случайных поступлений.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Такая работа позволит: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использовать краеведческий материал на уроках, тематических мероприятиях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проводить на базе музея совместную работу учителя и учеников по исследованию проблемных вопросов истории родного края;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обобщать изученный материал в рефератах, творческих исследованиях учащихся;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участвовать в районных олимпиадах по историческому краеведению, конкурсах, НОУ;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создавать фонд фото и видео альбомов.</w:t>
      </w:r>
    </w:p>
    <w:p w:rsidR="0078206B" w:rsidRPr="00CE2B28" w:rsidRDefault="0078206B" w:rsidP="00D247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  <w:t>Учет и хранение фондов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Основные задачи данного направления работы музея: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создать необходимые условия для обеспечения сохранности фондов и сведений о них;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lastRenderedPageBreak/>
        <w:t>• правильно оформлять основную музейную документацию (книга учёта основного фонда, книга поступлений);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организовать прием и выдачу музейных предметов;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обязательно фиксировать выдачу материалов на уроки и мероприятия.</w:t>
      </w:r>
    </w:p>
    <w:p w:rsidR="0078206B" w:rsidRPr="00CE2B28" w:rsidRDefault="0078206B" w:rsidP="00D247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  <w:t>Экспозиционная деятельность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 — способствовать повышению научного и эстетического уровня экспозиций. Для этого необходимо: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освоить и практиковать порядок создания экспозиции: изучение и отбор материалов, составление плана, художественное оформление, изготовление оборудования, текстов, элементов оформления, монтаж;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работы.</w:t>
      </w:r>
    </w:p>
    <w:p w:rsidR="0078206B" w:rsidRPr="00CE2B28" w:rsidRDefault="0078206B" w:rsidP="00D247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  <w:t>Просветительская работа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Главная задача данного направления — вовлечение в работу музея значительного числа школьников, их родителей, учителей. Для этого необходимо: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продолжить обучение учащихся методам поисково-исследовательской работы;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proofErr w:type="gram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проводить в музее совместные мероприятия: встречи, вечера, конференции, беседы, литературно-исторические композиции, экскурсии и др.;</w:t>
      </w:r>
      <w:proofErr w:type="gramEnd"/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• использовать материалы музея на уроках истории, краеведения, русской литературы, изобразительного искусства, технологии, на уроках в начальных классах.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Главный критерий повседневной работы музея —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 музея.</w:t>
      </w:r>
    </w:p>
    <w:p w:rsidR="0078206B" w:rsidRPr="00CE2B28" w:rsidRDefault="0078206B" w:rsidP="00D2479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  <w:t>УЧАСТНИКИ ПРОГРАММЫ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Программа рассчитана на учащихся школы разных возрастов, интересующихся историей родного края, ведущих поисковую и исследовательскую работу, участвующих в конкурсах, а также учителей и родителей.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Для создания, развития и функционирования историко-краеведческого музея в школе должен быть сформирован актив музея.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Актив музея и учащиеся школы:</w:t>
      </w:r>
    </w:p>
    <w:p w:rsidR="0078206B" w:rsidRPr="00CE2B28" w:rsidRDefault="0078206B" w:rsidP="00D24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lastRenderedPageBreak/>
        <w:t>Пополняют фонды музея путем организации исследований, переписки и личных контактов с различными организациями и лицами, устанавливают связи с другими музеями;</w:t>
      </w:r>
    </w:p>
    <w:p w:rsidR="0078206B" w:rsidRPr="00CE2B28" w:rsidRDefault="0078206B" w:rsidP="00D24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Проводят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78206B" w:rsidRPr="00CE2B28" w:rsidRDefault="0078206B" w:rsidP="00D24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Изучают собранный материал и обеспечивают его учет и хранение;</w:t>
      </w:r>
    </w:p>
    <w:p w:rsidR="0078206B" w:rsidRPr="00CE2B28" w:rsidRDefault="0078206B" w:rsidP="00D24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Оформляют экспозиции и выставки;</w:t>
      </w:r>
    </w:p>
    <w:p w:rsidR="0078206B" w:rsidRPr="00CE2B28" w:rsidRDefault="0078206B" w:rsidP="00D24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Проводят экскурсии для учащихся, родителей, педагогов, гостей школы;</w:t>
      </w:r>
    </w:p>
    <w:p w:rsidR="0078206B" w:rsidRPr="00CE2B28" w:rsidRDefault="0078206B" w:rsidP="00D24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Оказывают содействие учителям в использовании музейных экспонатов в учебном процессе;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i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iCs/>
          <w:color w:val="1A2025" w:themeColor="text1" w:themeShade="80"/>
          <w:sz w:val="28"/>
          <w:szCs w:val="28"/>
          <w:lang w:eastAsia="ru-RU"/>
        </w:rPr>
        <w:t>ПРЕДПАЛАГАЕМЫЕ РЕЗУЛЬТАТЫ РЕАЛИЗАЦИИ ПРОГРАММЫ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1. Данная программа открывает широкие возможности для разностороннего развития учащихся, так как в ней в единстве решаются разнообразные образовательные и воспитательные задачи. Реализация программы оказывает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воспитание чувства любви к Родине.</w:t>
      </w:r>
    </w:p>
    <w:p w:rsidR="0078206B" w:rsidRPr="00CE2B28" w:rsidRDefault="0078206B" w:rsidP="00D247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2. Повышается образовательный уровень всех участников программы, у них формируются новые навыки получения знаний, возрастает интерес к изучению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78206B" w:rsidRPr="00CE2B28" w:rsidRDefault="0078206B" w:rsidP="00D247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3. Фонды музея пополняются новыми материалами, создаётся летопись школы</w:t>
      </w:r>
    </w:p>
    <w:p w:rsidR="0078206B" w:rsidRPr="00CE2B28" w:rsidRDefault="0078206B" w:rsidP="00325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b/>
          <w:color w:val="1A2025" w:themeColor="text1" w:themeShade="80"/>
          <w:sz w:val="28"/>
          <w:szCs w:val="28"/>
          <w:lang w:eastAsia="ru-RU"/>
        </w:rPr>
        <w:t> </w:t>
      </w:r>
      <w:r w:rsidRPr="00CE2B28">
        <w:rPr>
          <w:rFonts w:ascii="Times New Roman" w:hAnsi="Times New Roman"/>
          <w:b/>
          <w:color w:val="1A2025" w:themeColor="text1" w:themeShade="80"/>
          <w:sz w:val="28"/>
          <w:szCs w:val="28"/>
          <w:u w:val="single"/>
          <w:lang w:eastAsia="ru-RU"/>
        </w:rPr>
        <w:t>Основная идея экспозиции музея: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u w:val="single"/>
          <w:lang w:eastAsia="ru-RU"/>
        </w:rPr>
        <w:t xml:space="preserve"> 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этнографическая.</w:t>
      </w: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u w:val="single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u w:val="single"/>
          <w:lang w:eastAsia="ru-RU"/>
        </w:rPr>
        <w:t>Принцип построения экспозиции: проблемный.</w:t>
      </w: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u w:val="single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u w:val="single"/>
          <w:lang w:eastAsia="ru-RU"/>
        </w:rPr>
        <w:t>Содержание экспозиции:</w:t>
      </w: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В экспозиции школьного музея выделено 4 отдела.</w:t>
      </w: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i/>
          <w:color w:val="1A2025" w:themeColor="text1" w:themeShade="80"/>
          <w:sz w:val="28"/>
          <w:szCs w:val="28"/>
          <w:lang w:eastAsia="ru-RU"/>
        </w:rPr>
        <w:t>Первый отдел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посвящен Древней и Средневековой истории. Большинство представленных экспонатов относятся к археологическим находкам эпохи Хазарского каганата 8-9 вв. н.э., найденным в окрестностях хутора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Евсеевского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как подъемный материал на археологической стоянке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Левкино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2: осколки керамики,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пращевой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камень, осколок кирпича, часть мельничного жернова (зернотерки). Вторую группу этого отдела представляют находки каменноугольного периода: фрагмент окаменелого дерева и семечка (предположительно гигантского папоротника), отпечатки листьев папоротников на угольной породе.</w:t>
      </w: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i/>
          <w:color w:val="1A2025" w:themeColor="text1" w:themeShade="80"/>
          <w:sz w:val="28"/>
          <w:szCs w:val="28"/>
          <w:lang w:eastAsia="ru-RU"/>
        </w:rPr>
        <w:t>Второй отдел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представляет собой собрание предметов быта донских казаков 19 – начала 20 века. Его можно назвать: Казачий. </w:t>
      </w:r>
      <w:proofErr w:type="gram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Экспозиция включает: походный сундук, тумбочка-уголок, иконы, зеркала, стулья, прялки, коромысла, деревянные санки, этажерку, иконы, рушники и скатерти, керамические изделия, ярмо и хомут, переметные сумки, подковы, деревянное колесо, ножницы, путы, фотографии казаков и рисунки, книгами на казачью тематику.</w:t>
      </w:r>
      <w:proofErr w:type="gramEnd"/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i/>
          <w:color w:val="1A2025" w:themeColor="text1" w:themeShade="80"/>
          <w:sz w:val="28"/>
          <w:szCs w:val="28"/>
          <w:lang w:eastAsia="ru-RU"/>
        </w:rPr>
        <w:t>Третий отдел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– Советский. </w:t>
      </w:r>
      <w:proofErr w:type="gram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Он представлен стендами с фотографиями  жителей хуторов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Евсеевского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и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Тереховского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, награжденных орденами и медалями за ударный труд в колхозе имени С.М.Кирова, картиной художника И.С.Лагутина, бюстом В.И.Ленина, пионерской атрибутикой, знаменами пионерской и 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lastRenderedPageBreak/>
        <w:t xml:space="preserve">комсомольской организаций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Евсеевской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школы 80-90-х гг. 20 века, альбомами  фотографий выпускных классов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Евсеевской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школы.</w:t>
      </w:r>
      <w:proofErr w:type="gramEnd"/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i/>
          <w:color w:val="1A2025" w:themeColor="text1" w:themeShade="80"/>
          <w:sz w:val="28"/>
          <w:szCs w:val="28"/>
          <w:lang w:eastAsia="ru-RU"/>
        </w:rPr>
        <w:t>Четвертый отдел -</w:t>
      </w: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Великой Отечественной войны. Он представлен стендом с фотографиями хуторян – участников Великой Отечественной войны, тематической выставкой «Немые свидетели войны», книгами на военную тему, Книгами Памяти погибших и пропавших без вести жителей хуторов бывшего </w:t>
      </w:r>
      <w:proofErr w:type="spellStart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Евсеевского</w:t>
      </w:r>
      <w:proofErr w:type="spellEnd"/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 xml:space="preserve"> сельсовета.</w:t>
      </w: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  <w:r w:rsidRPr="00CE2B28"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  <w:t>Школьный музей располагается в отдельном классном кабинете. Площадь помещения составляет: 32 кв.м. Помещение оборудовано освещением и отоплением. Для работы школьников имеются 6 школьных столов и 12 стульев, 2 шкафа. Для размещения экспозиции используются навесные полки.</w:t>
      </w: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</w:p>
    <w:p w:rsidR="0078206B" w:rsidRPr="00CE2B28" w:rsidRDefault="0078206B" w:rsidP="006A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  <w:lang w:eastAsia="ru-RU"/>
        </w:rPr>
      </w:pPr>
    </w:p>
    <w:p w:rsidR="0078206B" w:rsidRPr="00CE2B28" w:rsidRDefault="0078206B" w:rsidP="006A6C58">
      <w:pPr>
        <w:pStyle w:val="a3"/>
        <w:ind w:firstLine="709"/>
        <w:jc w:val="both"/>
        <w:rPr>
          <w:color w:val="1A2025" w:themeColor="text1" w:themeShade="80"/>
          <w:sz w:val="28"/>
          <w:szCs w:val="28"/>
        </w:rPr>
      </w:pPr>
    </w:p>
    <w:p w:rsidR="0078206B" w:rsidRPr="00CE2B28" w:rsidRDefault="0078206B" w:rsidP="006A6C58">
      <w:pPr>
        <w:pStyle w:val="a3"/>
        <w:ind w:firstLine="709"/>
        <w:jc w:val="both"/>
        <w:rPr>
          <w:color w:val="1A2025" w:themeColor="text1" w:themeShade="80"/>
          <w:sz w:val="28"/>
          <w:szCs w:val="28"/>
        </w:rPr>
      </w:pPr>
    </w:p>
    <w:p w:rsidR="0078206B" w:rsidRPr="00CE2B28" w:rsidRDefault="0078206B" w:rsidP="006A6C58">
      <w:pPr>
        <w:spacing w:line="240" w:lineRule="auto"/>
        <w:ind w:firstLine="709"/>
        <w:jc w:val="both"/>
        <w:rPr>
          <w:rFonts w:ascii="Times New Roman" w:hAnsi="Times New Roman"/>
          <w:color w:val="1A2025" w:themeColor="text1" w:themeShade="80"/>
          <w:sz w:val="28"/>
          <w:szCs w:val="28"/>
        </w:rPr>
      </w:pPr>
    </w:p>
    <w:sectPr w:rsidR="0078206B" w:rsidRPr="00CE2B28" w:rsidSect="00007D98">
      <w:pgSz w:w="11906" w:h="16838"/>
      <w:pgMar w:top="1134" w:right="850" w:bottom="1134" w:left="9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28F"/>
    <w:multiLevelType w:val="hybridMultilevel"/>
    <w:tmpl w:val="88E09948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85E2113"/>
    <w:multiLevelType w:val="hybridMultilevel"/>
    <w:tmpl w:val="C4FC9248"/>
    <w:lvl w:ilvl="0" w:tplc="12FCAFA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15"/>
    <w:rsid w:val="00007D98"/>
    <w:rsid w:val="000419B7"/>
    <w:rsid w:val="00130A92"/>
    <w:rsid w:val="00147114"/>
    <w:rsid w:val="00192DD5"/>
    <w:rsid w:val="00210131"/>
    <w:rsid w:val="00264149"/>
    <w:rsid w:val="00273497"/>
    <w:rsid w:val="003203F8"/>
    <w:rsid w:val="003238A4"/>
    <w:rsid w:val="003255A2"/>
    <w:rsid w:val="003D7B09"/>
    <w:rsid w:val="003F7715"/>
    <w:rsid w:val="0040261F"/>
    <w:rsid w:val="00416DFE"/>
    <w:rsid w:val="004C10D6"/>
    <w:rsid w:val="004E5ECD"/>
    <w:rsid w:val="005D31BD"/>
    <w:rsid w:val="006A6C58"/>
    <w:rsid w:val="006D6A16"/>
    <w:rsid w:val="00737A17"/>
    <w:rsid w:val="00761F77"/>
    <w:rsid w:val="0078206B"/>
    <w:rsid w:val="00784616"/>
    <w:rsid w:val="007C41EF"/>
    <w:rsid w:val="007F511B"/>
    <w:rsid w:val="00890928"/>
    <w:rsid w:val="008A44E3"/>
    <w:rsid w:val="008C642C"/>
    <w:rsid w:val="009A0D4F"/>
    <w:rsid w:val="009C756D"/>
    <w:rsid w:val="009D66E0"/>
    <w:rsid w:val="00AA652B"/>
    <w:rsid w:val="00B03A7D"/>
    <w:rsid w:val="00BD3D98"/>
    <w:rsid w:val="00C03F23"/>
    <w:rsid w:val="00CE2B28"/>
    <w:rsid w:val="00D24798"/>
    <w:rsid w:val="00D956F6"/>
    <w:rsid w:val="00DD3317"/>
    <w:rsid w:val="00E0350C"/>
    <w:rsid w:val="00E2680F"/>
    <w:rsid w:val="00E34717"/>
    <w:rsid w:val="00EA43A4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3203F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3">
    <w:name w:val="Font Style43"/>
    <w:basedOn w:val="a0"/>
    <w:uiPriority w:val="99"/>
    <w:rsid w:val="003203F8"/>
    <w:rPr>
      <w:rFonts w:cs="Times New Roman"/>
    </w:rPr>
  </w:style>
  <w:style w:type="paragraph" w:customStyle="1" w:styleId="Style4">
    <w:name w:val="Style4"/>
    <w:basedOn w:val="a4"/>
    <w:uiPriority w:val="99"/>
    <w:rsid w:val="003203F8"/>
  </w:style>
  <w:style w:type="table" w:styleId="a5">
    <w:name w:val="Table Grid"/>
    <w:basedOn w:val="a1"/>
    <w:uiPriority w:val="99"/>
    <w:locked/>
    <w:rsid w:val="00D956F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2479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Deafult User</cp:lastModifiedBy>
  <cp:revision>14</cp:revision>
  <dcterms:created xsi:type="dcterms:W3CDTF">2018-11-16T18:20:00Z</dcterms:created>
  <dcterms:modified xsi:type="dcterms:W3CDTF">2018-12-03T06:35:00Z</dcterms:modified>
</cp:coreProperties>
</file>